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1"/>
        <w:rPr>
          <w:b w:val="1"/>
          <w:u w:val="single"/>
        </w:rPr>
      </w:pPr>
      <w:bookmarkStart w:colFirst="0" w:colLast="0" w:name="_3yewupjze747" w:id="0"/>
      <w:bookmarkEnd w:id="0"/>
      <w:r w:rsidDel="00000000" w:rsidR="00000000" w:rsidRPr="00000000">
        <w:rPr>
          <w:b w:val="1"/>
          <w:u w:val="single"/>
          <w:rtl w:val="0"/>
        </w:rPr>
        <w:t xml:space="preserve">Station 4 - Teaching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 are a consultant in a mixed urban ED. Your house officer observed a 7 year old girl being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administered nitrous oxide to facilitate the insertion of an IV cannula earlier in the shift. The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house officer would like to know about how to use it.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Your tasks: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 the house officer the clinically important features of a nitrous oxide delivery circuit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 them how to prepare the circuit for use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 them the indications for using nitrous oxide in the emergency department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The following equipment will be available in the examination room.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187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18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Domains assessed: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Medical expertise 60%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Scholarship and teaching 40%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